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F4E79"/>
          <w:sz w:val="44"/>
          <w:szCs w:val="44"/>
        </w:rPr>
        <w:t xml:space="preserve">STATEMENT OF WORK</w:t>
      </w:r>
    </w:p>
    <w:p>
      <w:pPr>
        <w:spacing w:after="80"/>
      </w:pPr>
      <w:r>
        <w:rPr>
          <w:color w:val="0F1A2E"/>
          <w:sz w:val="28"/>
          <w:szCs w:val="28"/>
        </w:rPr>
        <w:t xml:space="preserve">Margin Command Center (MCC) — Order Flow Automation</w:t>
      </w:r>
    </w:p>
    <w:p>
      <w:pPr>
        <w:spacing w:after="240"/>
      </w:pPr>
      <w:r>
        <w:rPr>
          <w:i/>
          <w:iCs/>
          <w:color w:val="595959"/>
          <w:sz w:val="22"/>
          <w:szCs w:val="22"/>
        </w:rPr>
        <w:t xml:space="preserve">Between MARGIN (“Client”) and Divigner Group LLC (“Divigner”)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SOW NUMBER</w:t>
            </w:r>
          </w:p>
        </w:tc>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EFFECTIVE DATE</w:t>
            </w:r>
          </w:p>
        </w:tc>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TERM</w:t>
            </w:r>
          </w:p>
        </w:tc>
      </w:tr>
      <w:tr>
        <w:tc>
          <w:tcPr>
            <w:tcW w:type="dxa" w:w="33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SOW-2026-MCC-001</w:t>
            </w:r>
          </w:p>
        </w:tc>
        <w:tc>
          <w:tcPr>
            <w:tcW w:type="dxa" w:w="33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May 22, 2026</w:t>
            </w:r>
          </w:p>
        </w:tc>
        <w:tc>
          <w:tcPr>
            <w:tcW w:type="dxa" w:w="33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Six (6) weeks from kickoff</w:t>
            </w:r>
          </w:p>
        </w:tc>
      </w:tr>
    </w:tbl>
    <w:p>
      <w:pPr>
        <w:spacing w:after="120"/>
      </w:pPr>
      <w:r>
        <w:t xml:space="preserve"/>
      </w:r>
    </w:p>
    <w:p>
      <w:pPr>
        <w:pStyle w:val="Heading1"/>
        <w:pBdr>
          <w:bottom w:val="single" w:color="1F4E79" w:sz="8" w:space="6"/>
        </w:pBdr>
        <w:spacing w:after="180" w:before="360"/>
      </w:pPr>
      <w:r>
        <w:rPr>
          <w:b/>
          <w:bCs/>
          <w:color w:val="1F4E79"/>
          <w:sz w:val="32"/>
          <w:szCs w:val="32"/>
        </w:rPr>
        <w:t xml:space="preserve">1. Project Overview</w:t>
      </w:r>
    </w:p>
    <w:p>
      <w:pPr>
        <w:spacing w:after="120"/>
      </w:pPr>
      <w:r>
        <w:rPr>
          <w:sz w:val="22"/>
          <w:szCs w:val="22"/>
        </w:rPr>
        <w:t xml:space="preserve">This Statement of Work (“</w:t>
      </w:r>
      <w:r>
        <w:rPr>
          <w:b/>
          <w:bCs/>
          <w:sz w:val="22"/>
          <w:szCs w:val="22"/>
        </w:rPr>
        <w:t xml:space="preserve">SOW</w:t>
      </w:r>
      <w:r>
        <w:rPr>
          <w:sz w:val="22"/>
          <w:szCs w:val="22"/>
        </w:rPr>
        <w:t xml:space="preserve">”), effective as of the date set forth above (the “</w:t>
      </w:r>
      <w:r>
        <w:rPr>
          <w:b/>
          <w:bCs/>
          <w:sz w:val="22"/>
          <w:szCs w:val="22"/>
        </w:rPr>
        <w:t xml:space="preserve">Effective Date</w:t>
      </w:r>
      <w:r>
        <w:rPr>
          <w:sz w:val="22"/>
          <w:szCs w:val="22"/>
        </w:rPr>
        <w:t xml:space="preserve">”), is made and entered into by and between </w:t>
      </w:r>
      <w:r>
        <w:rPr>
          <w:b/>
          <w:bCs/>
          <w:sz w:val="22"/>
          <w:szCs w:val="22"/>
        </w:rPr>
        <w:t xml:space="preserve">MARGIN</w:t>
      </w:r>
      <w:r>
        <w:rPr>
          <w:sz w:val="22"/>
          <w:szCs w:val="22"/>
        </w:rPr>
        <w:t xml:space="preserve"> (“Client”) and </w:t>
      </w:r>
      <w:r>
        <w:rPr>
          <w:b/>
          <w:bCs/>
          <w:sz w:val="22"/>
          <w:szCs w:val="22"/>
        </w:rPr>
        <w:t xml:space="preserve">Divigner Group LLC</w:t>
      </w:r>
      <w:r>
        <w:rPr>
          <w:sz w:val="22"/>
          <w:szCs w:val="22"/>
        </w:rPr>
        <w:t xml:space="preserve"> (“Divigner”). Client and Divigner may be individually referred to herein as a “Party” or collectively as the “Parties.”</w:t>
      </w:r>
    </w:p>
    <w:p>
      <w:pPr>
        <w:spacing w:after="120"/>
      </w:pPr>
      <w:r>
        <w:rPr>
          <w:sz w:val="22"/>
          <w:szCs w:val="22"/>
        </w:rPr>
        <w:t xml:space="preserve">Divigner is pleased to present Client with this SOW covering the design, build, and deployment of the Margin Command Center (MCC) — a unified order-flow automation system encompassing direct MySQL pipeline ingestion, Mailgun reconciliation, Claude-powered NLP classification, a JSX operator dashboard, and a Dialpad-integrated communication layer. Divigner's role is detailed in the Scope of Work section below.</w:t>
      </w:r>
    </w:p>
    <w:p>
      <w:pPr>
        <w:spacing w:after="120"/>
      </w:pPr>
      <w:r>
        <w:rPr>
          <w:sz w:val="22"/>
          <w:szCs w:val="22"/>
        </w:rPr>
        <w:t xml:space="preserve">This SOW authorizes Divigner to proceed with the scope of work indicated below, subject to the Terms &amp; Conditions stated herein, the executed signatures of both Parties, and receipt of the deposit payment described in the Investment &amp; Payment Schedule section.</w:t>
      </w:r>
    </w:p>
    <w:p>
      <w:pPr>
        <w:pStyle w:val="Heading1"/>
        <w:pBdr>
          <w:bottom w:val="single" w:color="1F4E79" w:sz="8" w:space="6"/>
        </w:pBdr>
        <w:spacing w:after="180" w:before="360"/>
      </w:pPr>
      <w:r>
        <w:rPr>
          <w:b/>
          <w:bCs/>
          <w:color w:val="1F4E79"/>
          <w:sz w:val="32"/>
          <w:szCs w:val="32"/>
        </w:rPr>
        <w:t xml:space="preserve">2. Parties &amp; Contacts</w:t>
      </w:r>
    </w:p>
    <w:p>
      <w:pPr>
        <w:spacing w:after="120"/>
      </w:pPr>
      <w:r>
        <w:rPr>
          <w:sz w:val="22"/>
          <w:szCs w:val="22"/>
        </w:rPr>
        <w:t xml:space="preserve">Named points of contact for each Party. Day-to-day decisions, status updates, and acceptance reviews flow through these individuals.</w:t>
      </w:r>
    </w:p>
    <w:p>
      <w:pPr>
        <w:pStyle w:val="Heading3"/>
        <w:spacing w:after="80" w:before="200"/>
      </w:pPr>
      <w:r>
        <w:rPr>
          <w:b/>
          <w:bCs/>
          <w:color w:val="0F766E"/>
          <w:sz w:val="22"/>
          <w:szCs w:val="22"/>
        </w:rPr>
        <w:t xml:space="preserve">Client — MARGIN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7560"/>
      </w:tblGrid>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Primary POC</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Matt Thompson, Sr. Operations Manager</w:t>
            </w:r>
          </w:p>
        </w:tc>
      </w:tr>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Technical POC</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Eric Paul, Chief Technology Officer</w:t>
            </w:r>
          </w:p>
        </w:tc>
      </w:tr>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Engineering</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Oleg, Maintainer (LAMP stack)</w:t>
            </w:r>
          </w:p>
        </w:tc>
      </w:tr>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Executive Sponsor</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Chas</w:t>
            </w:r>
          </w:p>
        </w:tc>
      </w:tr>
    </w:tbl>
    <w:p>
      <w:pPr>
        <w:spacing w:after="120"/>
      </w:pPr>
      <w:r>
        <w:t xml:space="preserve"/>
      </w:r>
    </w:p>
    <w:p>
      <w:pPr>
        <w:pStyle w:val="Heading3"/>
        <w:spacing w:after="80" w:before="200"/>
      </w:pPr>
      <w:r>
        <w:rPr>
          <w:b/>
          <w:bCs/>
          <w:color w:val="0F766E"/>
          <w:sz w:val="22"/>
          <w:szCs w:val="22"/>
        </w:rPr>
        <w:t xml:space="preserve">Contractor — Divigner Group LLC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7560"/>
      </w:tblGrid>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Primary POC</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Jae McKinney, Managing Director</w:t>
            </w:r>
          </w:p>
        </w:tc>
      </w:tr>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Email</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jae@divignergroup.com</w:t>
            </w:r>
          </w:p>
        </w:tc>
      </w:tr>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Phone</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732.328.2407</w:t>
            </w:r>
          </w:p>
        </w:tc>
      </w:tr>
      <w:tr>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Address</w:t>
            </w:r>
          </w:p>
        </w:tc>
        <w:tc>
          <w:tcPr>
            <w:tcW w:type="dxa" w:w="75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7 North Willow Street, Suite 8C, Montclair, NJ 07042</w:t>
            </w:r>
          </w:p>
        </w:tc>
      </w:tr>
    </w:tbl>
    <w:p>
      <w:pPr>
        <w:pStyle w:val="Heading1"/>
        <w:pBdr>
          <w:bottom w:val="single" w:color="1F4E79" w:sz="8" w:space="6"/>
        </w:pBdr>
        <w:spacing w:after="180" w:before="360"/>
      </w:pPr>
      <w:r>
        <w:rPr>
          <w:b/>
          <w:bCs/>
          <w:color w:val="1F4E79"/>
          <w:sz w:val="32"/>
          <w:szCs w:val="32"/>
        </w:rPr>
        <w:t xml:space="preserve">3. Project Background</w:t>
      </w:r>
    </w:p>
    <w:p>
      <w:pPr>
        <w:spacing w:after="120"/>
      </w:pPr>
      <w:r>
        <w:rPr>
          <w:sz w:val="22"/>
          <w:szCs w:val="22"/>
        </w:rPr>
        <w:t xml:space="preserve">MARGIN's order operation runs across approximately 90 vendor relationships, managed today through a LAMP-based backend, a color-coded Excel tracker, and manual email triage that consumes 7–8 hours of staff time daily. Orders are placed, vendor emails arrive, and operations staff hand-key the relevant data into spreadsheets while composing exception messages through Dialpad and email.</w:t>
      </w:r>
    </w:p>
    <w:p>
      <w:pPr>
        <w:spacing w:after="120"/>
      </w:pPr>
      <w:r>
        <w:rPr>
          <w:sz w:val="22"/>
          <w:szCs w:val="22"/>
        </w:rPr>
        <w:t xml:space="preserve">The backend infrastructure is solid — MySQL via Symfony holds clean, reliable order data. The gap is the layer that reads it directly, cross-checks vendor delivery automatically, classifies exceptions with AI, and presents the team with drafted messages ready for a single-click send.</w:t>
      </w:r>
    </w:p>
    <w:p>
      <w:pPr>
        <w:spacing w:after="120"/>
      </w:pPr>
      <w:r>
        <w:rPr>
          <w:sz w:val="22"/>
          <w:szCs w:val="22"/>
        </w:rPr>
        <w:t xml:space="preserve">The Margin Command Center (MCC) addresses this gap. The dashboard is introduced alongside the existing Excel tracker, with full replacement planned once the team is comfortable with the new workflow.</w:t>
      </w:r>
    </w:p>
    <w:p>
      <w:pPr>
        <w:pStyle w:val="Heading1"/>
        <w:pBdr>
          <w:bottom w:val="single" w:color="1F4E79" w:sz="8" w:space="6"/>
        </w:pBdr>
        <w:spacing w:after="180" w:before="360"/>
      </w:pPr>
      <w:r>
        <w:rPr>
          <w:b/>
          <w:bCs/>
          <w:color w:val="1F4E79"/>
          <w:sz w:val="32"/>
          <w:szCs w:val="32"/>
        </w:rPr>
        <w:t xml:space="preserve">4. Scope of Work — Deliverables</w:t>
      </w:r>
    </w:p>
    <w:p>
      <w:pPr>
        <w:spacing w:after="120"/>
      </w:pPr>
      <w:r>
        <w:rPr>
          <w:sz w:val="22"/>
          <w:szCs w:val="22"/>
        </w:rPr>
        <w:t xml:space="preserve">This is a fixed-scope engagement. The following six deliverables are included at the flat project fee: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6720"/>
      </w:tblGrid>
      <w:tr>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1. Order-creation pipeline</w:t>
            </w:r>
          </w:p>
        </w:tc>
        <w:tc>
          <w:tcPr>
            <w:tcW w:type="dxa" w:w="67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MySQL/Symfony trigger fires on order creation, producing the definitive vendor/product dataset that all downstream layers validate against.</w:t>
            </w:r>
          </w:p>
        </w:tc>
      </w:tr>
      <w:tr>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2. Mailgun email reconciliation</w:t>
            </w:r>
          </w:p>
        </w:tc>
        <w:tc>
          <w:tcPr>
            <w:tcW w:type="dxa" w:w="67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Inbox monitored and reconciled against the order's expected vendor list. Gaps flagged on dashboard; exception signals surfaced for classification.</w:t>
            </w:r>
          </w:p>
        </w:tc>
      </w:tr>
      <w:tr>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3. NLP classifier &amp; draft generator</w:t>
            </w:r>
          </w:p>
        </w:tc>
        <w:tc>
          <w:tcPr>
            <w:tcW w:type="dxa" w:w="67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Four-scenario email classifier (Standard Confirmation, Credit Hold, Backorder, Deletion/Cancellation) with templated draft messages trained on MARGIN's historical correspondence. Frontier model with open-weights fallback path.</w:t>
            </w:r>
          </w:p>
        </w:tc>
      </w:tr>
      <w:tr>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4. MCC dashboard (JSX on LAMP)</w:t>
            </w:r>
          </w:p>
        </w:tc>
        <w:tc>
          <w:tcPr>
            <w:tcW w:type="dxa" w:w="67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Order-level and line-item drill-down, daily revenue milestone view, per-vendor shipping rates, shipped vs. outstanding quantities, and hover-tooltip status logic. Deployed onto MARGIN's existing stack.</w:t>
            </w:r>
          </w:p>
        </w:tc>
      </w:tr>
      <w:tr>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5. Communication tab &amp; approval flow</w:t>
            </w:r>
          </w:p>
        </w:tc>
        <w:tc>
          <w:tcPr>
            <w:tcW w:type="dxa" w:w="67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Dashboard inbox showing pending drafts, per-client channel preference (email or Dialpad SMS), one-click send, and full audit trail written back to MySQL.</w:t>
            </w:r>
          </w:p>
        </w:tc>
      </w:tr>
      <w:tr>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6. Documentation &amp; training</w:t>
            </w:r>
          </w:p>
        </w:tc>
        <w:tc>
          <w:tcPr>
            <w:tcW w:type="dxa" w:w="67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Runbook documentation, technical specifications, configuration documentation, and one (1) team training session with Matt, Kyle, Daniel, and Oleg.</w:t>
            </w:r>
          </w:p>
        </w:tc>
      </w:tr>
    </w:tbl>
    <w:p>
      <w:pPr>
        <w:spacing w:after="120"/>
      </w:pPr>
      <w:r>
        <w:t xml:space="preserve"/>
      </w:r>
    </w:p>
    <w:p>
      <w:pPr>
        <w:spacing w:after="120"/>
      </w:pPr>
      <w:r>
        <w:rPr>
          <w:b/>
          <w:bCs/>
          <w:sz w:val="22"/>
          <w:szCs w:val="22"/>
        </w:rPr>
        <w:t xml:space="preserve">Out of scope: </w:t>
      </w:r>
      <w:r>
        <w:rPr>
          <w:i/>
          <w:iCs/>
          <w:sz w:val="22"/>
          <w:szCs w:val="22"/>
        </w:rPr>
        <w:t xml:space="preserve">advanced BI/reporting dashboards, integrations beyond the LAMP stack, and ongoing maintenance. Post-launch retainers are available separately. Any expansion of scope requires a written Change Order (see Section 9, Term 8).</w:t>
      </w:r>
    </w:p>
    <w:p>
      <w:pPr>
        <w:pStyle w:val="Heading1"/>
        <w:pBdr>
          <w:bottom w:val="single" w:color="1F4E79" w:sz="8" w:space="6"/>
        </w:pBdr>
        <w:spacing w:after="180" w:before="360"/>
      </w:pPr>
      <w:r>
        <w:rPr>
          <w:b/>
          <w:bCs/>
          <w:color w:val="1F4E79"/>
          <w:sz w:val="32"/>
          <w:szCs w:val="32"/>
        </w:rPr>
        <w:t xml:space="preserve">5. Project Assumptions &amp; Responsibilities</w:t>
      </w:r>
    </w:p>
    <w:p>
      <w:pPr>
        <w:spacing w:after="120"/>
      </w:pPr>
      <w:r>
        <w:rPr>
          <w:sz w:val="22"/>
          <w:szCs w:val="22"/>
        </w:rPr>
        <w:t xml:space="preserve">The estimate, timeline, and fee are based on the assumptions below. Significant deviation may impact delivery or trigger a Change Order.</w:t>
      </w:r>
    </w:p>
    <w:p>
      <w:pPr>
        <w:pStyle w:val="Heading3"/>
        <w:spacing w:after="80" w:before="200"/>
      </w:pPr>
      <w:r>
        <w:rPr>
          <w:b/>
          <w:bCs/>
          <w:color w:val="0F766E"/>
          <w:sz w:val="22"/>
          <w:szCs w:val="22"/>
        </w:rPr>
        <w:t xml:space="preserve">Client Provides</w:t>
      </w:r>
    </w:p>
    <w:p>
      <w:pPr>
        <w:pStyle w:val="ListParagraph"/>
        <w:numPr>
          <w:ilvl w:val="0"/>
          <w:numId w:val="2"/>
        </w:numPr>
        <w:spacing w:after="60"/>
      </w:pPr>
      <w:r>
        <w:rPr>
          <w:sz w:val="22"/>
          <w:szCs w:val="22"/>
        </w:rPr>
        <w:t xml:space="preserve">Executed NDA prior to credential exchange</w:t>
      </w:r>
    </w:p>
    <w:p>
      <w:pPr>
        <w:pStyle w:val="ListParagraph"/>
        <w:numPr>
          <w:ilvl w:val="0"/>
          <w:numId w:val="2"/>
        </w:numPr>
        <w:spacing w:after="60"/>
      </w:pPr>
      <w:r>
        <w:rPr>
          <w:sz w:val="22"/>
          <w:szCs w:val="22"/>
        </w:rPr>
        <w:t xml:space="preserve">MySQL schema documentation (order, line-item, vendor, shipping tables)</w:t>
      </w:r>
    </w:p>
    <w:p>
      <w:pPr>
        <w:pStyle w:val="ListParagraph"/>
        <w:numPr>
          <w:ilvl w:val="0"/>
          <w:numId w:val="2"/>
        </w:numPr>
        <w:spacing w:after="60"/>
      </w:pPr>
      <w:r>
        <w:rPr>
          <w:sz w:val="22"/>
          <w:szCs w:val="22"/>
        </w:rPr>
        <w:t xml:space="preserve">Symfony endpoint inventory and order-creation event hook details</w:t>
      </w:r>
    </w:p>
    <w:p>
      <w:pPr>
        <w:pStyle w:val="ListParagraph"/>
        <w:numPr>
          <w:ilvl w:val="0"/>
          <w:numId w:val="2"/>
        </w:numPr>
        <w:spacing w:after="60"/>
      </w:pPr>
      <w:r>
        <w:rPr>
          <w:sz w:val="22"/>
          <w:szCs w:val="22"/>
        </w:rPr>
        <w:t xml:space="preserve">Mailgun account access, webhook configuration, and routing rules</w:t>
      </w:r>
    </w:p>
    <w:p>
      <w:pPr>
        <w:pStyle w:val="ListParagraph"/>
        <w:numPr>
          <w:ilvl w:val="0"/>
          <w:numId w:val="2"/>
        </w:numPr>
        <w:spacing w:after="60"/>
      </w:pPr>
      <w:r>
        <w:rPr>
          <w:sz w:val="22"/>
          <w:szCs w:val="22"/>
        </w:rPr>
        <w:t xml:space="preserve">Dialpad API credentials and SMS endpoint documentation</w:t>
      </w:r>
    </w:p>
    <w:p>
      <w:pPr>
        <w:pStyle w:val="ListParagraph"/>
        <w:numPr>
          <w:ilvl w:val="0"/>
          <w:numId w:val="2"/>
        </w:numPr>
        <w:spacing w:after="60"/>
      </w:pPr>
      <w:r>
        <w:rPr>
          <w:sz w:val="22"/>
          <w:szCs w:val="22"/>
        </w:rPr>
        <w:t xml:space="preserve">Sandbox and staging environments for development and UAT</w:t>
      </w:r>
    </w:p>
    <w:p>
      <w:pPr>
        <w:pStyle w:val="ListParagraph"/>
        <w:numPr>
          <w:ilvl w:val="0"/>
          <w:numId w:val="2"/>
        </w:numPr>
        <w:spacing w:after="60"/>
      </w:pPr>
      <w:r>
        <w:rPr>
          <w:sz w:val="22"/>
          <w:szCs w:val="22"/>
        </w:rPr>
        <w:t xml:space="preserve">Representative Excel workbook samples (3–5 populated examples)</w:t>
      </w:r>
    </w:p>
    <w:p>
      <w:pPr>
        <w:pStyle w:val="ListParagraph"/>
        <w:numPr>
          <w:ilvl w:val="0"/>
          <w:numId w:val="2"/>
        </w:numPr>
        <w:spacing w:after="60"/>
      </w:pPr>
      <w:r>
        <w:rPr>
          <w:sz w:val="22"/>
          <w:szCs w:val="22"/>
        </w:rPr>
        <w:t xml:space="preserve">Historical email/PDF sample set (10–20 messages organized by vendor)</w:t>
      </w:r>
    </w:p>
    <w:p>
      <w:pPr>
        <w:pStyle w:val="ListParagraph"/>
        <w:numPr>
          <w:ilvl w:val="0"/>
          <w:numId w:val="2"/>
        </w:numPr>
        <w:spacing w:after="60"/>
      </w:pPr>
      <w:r>
        <w:rPr>
          <w:sz w:val="22"/>
          <w:szCs w:val="22"/>
        </w:rPr>
        <w:t xml:space="preserve">Timely availability of Eric, Matt, and Oleg for design sessions and reviews</w:t>
      </w:r>
    </w:p>
    <w:p>
      <w:pPr>
        <w:pStyle w:val="ListParagraph"/>
        <w:numPr>
          <w:ilvl w:val="0"/>
          <w:numId w:val="2"/>
        </w:numPr>
        <w:spacing w:after="60"/>
      </w:pPr>
      <w:r>
        <w:rPr>
          <w:sz w:val="22"/>
          <w:szCs w:val="22"/>
        </w:rPr>
        <w:t xml:space="preserve">24–48 hour turnaround on requests and decisions</w:t>
      </w:r>
    </w:p>
    <w:p>
      <w:pPr>
        <w:pStyle w:val="ListParagraph"/>
        <w:numPr>
          <w:ilvl w:val="0"/>
          <w:numId w:val="2"/>
        </w:numPr>
        <w:spacing w:after="60"/>
      </w:pPr>
      <w:r>
        <w:rPr>
          <w:sz w:val="22"/>
          <w:szCs w:val="22"/>
        </w:rPr>
        <w:t xml:space="preserve">UAT participation and signoff at staged demo checkpoints</w:t>
      </w:r>
    </w:p>
    <w:p>
      <w:pPr>
        <w:pStyle w:val="Heading3"/>
        <w:spacing w:after="80" w:before="200"/>
      </w:pPr>
      <w:r>
        <w:rPr>
          <w:b/>
          <w:bCs/>
          <w:color w:val="0F766E"/>
          <w:sz w:val="22"/>
          <w:szCs w:val="22"/>
        </w:rPr>
        <w:t xml:space="preserve">Divigner Provides</w:t>
      </w:r>
    </w:p>
    <w:p>
      <w:pPr>
        <w:pStyle w:val="ListParagraph"/>
        <w:numPr>
          <w:ilvl w:val="0"/>
          <w:numId w:val="2"/>
        </w:numPr>
        <w:spacing w:after="60"/>
      </w:pPr>
      <w:r>
        <w:rPr>
          <w:sz w:val="22"/>
          <w:szCs w:val="22"/>
        </w:rPr>
        <w:t xml:space="preserve">All Divigner-side hardware, software, and development tooling</w:t>
      </w:r>
    </w:p>
    <w:p>
      <w:pPr>
        <w:pStyle w:val="ListParagraph"/>
        <w:numPr>
          <w:ilvl w:val="0"/>
          <w:numId w:val="2"/>
        </w:numPr>
        <w:spacing w:after="60"/>
      </w:pPr>
      <w:r>
        <w:rPr>
          <w:sz w:val="22"/>
          <w:szCs w:val="22"/>
        </w:rPr>
        <w:t xml:space="preserve">Project management, weekly status meetings, and progress reviews</w:t>
      </w:r>
    </w:p>
    <w:p>
      <w:pPr>
        <w:pStyle w:val="ListParagraph"/>
        <w:numPr>
          <w:ilvl w:val="0"/>
          <w:numId w:val="2"/>
        </w:numPr>
        <w:spacing w:after="60"/>
      </w:pPr>
      <w:r>
        <w:rPr>
          <w:sz w:val="22"/>
          <w:szCs w:val="22"/>
        </w:rPr>
        <w:t xml:space="preserve">Design and build of all six deliverables in Section 4</w:t>
      </w:r>
    </w:p>
    <w:p>
      <w:pPr>
        <w:pStyle w:val="ListParagraph"/>
        <w:numPr>
          <w:ilvl w:val="0"/>
          <w:numId w:val="2"/>
        </w:numPr>
        <w:spacing w:after="60"/>
      </w:pPr>
      <w:r>
        <w:rPr>
          <w:sz w:val="22"/>
          <w:szCs w:val="22"/>
        </w:rPr>
        <w:t xml:space="preserve">Development and unit testing of each system layer</w:t>
      </w:r>
    </w:p>
    <w:p>
      <w:pPr>
        <w:pStyle w:val="ListParagraph"/>
        <w:numPr>
          <w:ilvl w:val="0"/>
          <w:numId w:val="2"/>
        </w:numPr>
        <w:spacing w:after="60"/>
      </w:pPr>
      <w:r>
        <w:rPr>
          <w:sz w:val="22"/>
          <w:szCs w:val="22"/>
        </w:rPr>
        <w:t xml:space="preserve">Integration testing across the full pipeline</w:t>
      </w:r>
    </w:p>
    <w:p>
      <w:pPr>
        <w:pStyle w:val="ListParagraph"/>
        <w:numPr>
          <w:ilvl w:val="0"/>
          <w:numId w:val="2"/>
        </w:numPr>
        <w:spacing w:after="60"/>
      </w:pPr>
      <w:r>
        <w:rPr>
          <w:sz w:val="22"/>
          <w:szCs w:val="22"/>
        </w:rPr>
        <w:t xml:space="preserve">Staged demo support at Phase 3 and Phase 5</w:t>
      </w:r>
    </w:p>
    <w:p>
      <w:pPr>
        <w:pStyle w:val="ListParagraph"/>
        <w:numPr>
          <w:ilvl w:val="0"/>
          <w:numId w:val="2"/>
        </w:numPr>
        <w:spacing w:after="60"/>
      </w:pPr>
      <w:r>
        <w:rPr>
          <w:sz w:val="22"/>
          <w:szCs w:val="22"/>
        </w:rPr>
        <w:t xml:space="preserve">UAT facilitation with the MARGIN team</w:t>
      </w:r>
    </w:p>
    <w:p>
      <w:pPr>
        <w:pStyle w:val="ListParagraph"/>
        <w:numPr>
          <w:ilvl w:val="0"/>
          <w:numId w:val="2"/>
        </w:numPr>
        <w:spacing w:after="60"/>
      </w:pPr>
      <w:r>
        <w:rPr>
          <w:sz w:val="22"/>
          <w:szCs w:val="22"/>
        </w:rPr>
        <w:t xml:space="preserve">Production deployment onto MARGIN's LAMP infrastructure</w:t>
      </w:r>
    </w:p>
    <w:p>
      <w:pPr>
        <w:pStyle w:val="ListParagraph"/>
        <w:numPr>
          <w:ilvl w:val="0"/>
          <w:numId w:val="2"/>
        </w:numPr>
        <w:spacing w:after="60"/>
      </w:pPr>
      <w:r>
        <w:rPr>
          <w:sz w:val="22"/>
          <w:szCs w:val="22"/>
        </w:rPr>
        <w:t xml:space="preserve">Runbook documentation and one (1) team training session</w:t>
      </w:r>
    </w:p>
    <w:p>
      <w:pPr>
        <w:pStyle w:val="ListParagraph"/>
        <w:numPr>
          <w:ilvl w:val="0"/>
          <w:numId w:val="2"/>
        </w:numPr>
        <w:spacing w:after="60"/>
      </w:pPr>
      <w:r>
        <w:rPr>
          <w:sz w:val="22"/>
          <w:szCs w:val="22"/>
        </w:rPr>
        <w:t xml:space="preserve">30-day post-launch bug warranty at no charge</w:t>
      </w:r>
    </w:p>
    <w:p>
      <w:pPr>
        <w:pStyle w:val="Heading3"/>
        <w:spacing w:after="80" w:before="200"/>
      </w:pPr>
      <w:r>
        <w:rPr>
          <w:b/>
          <w:bCs/>
          <w:color w:val="0F766E"/>
          <w:sz w:val="22"/>
          <w:szCs w:val="22"/>
        </w:rPr>
        <w:t xml:space="preserve">Acceptance Process</w:t>
      </w:r>
    </w:p>
    <w:p>
      <w:pPr>
        <w:spacing w:after="120"/>
      </w:pPr>
      <w:r>
        <w:rPr>
          <w:sz w:val="22"/>
          <w:szCs w:val="22"/>
        </w:rPr>
        <w:t xml:space="preserve">Interim milestones have a five (5) business day acceptance window; the final go-live milestone has a ten (10) business day window. On or before the close of each window, Client shall either (a) provide written conditional acceptance, or (b) identify in writing any failure of the deliverable to comply with this SOW, listing all errors and omissions with reasonable detail. Failure to respond within the window constitutes acceptance.</w:t>
      </w:r>
    </w:p>
    <w:p>
      <w:pPr>
        <w:pStyle w:val="Heading1"/>
        <w:pBdr>
          <w:bottom w:val="single" w:color="1F4E79" w:sz="8" w:space="6"/>
        </w:pBdr>
        <w:spacing w:after="180" w:before="360"/>
      </w:pPr>
      <w:r>
        <w:rPr>
          <w:b/>
          <w:bCs/>
          <w:color w:val="1F4E79"/>
          <w:sz w:val="32"/>
          <w:szCs w:val="32"/>
        </w:rPr>
        <w:t xml:space="preserve">6. Timeline — Six-Week Build Plan</w:t>
      </w:r>
    </w:p>
    <w:p>
      <w:pPr>
        <w:spacing w:after="120"/>
      </w:pPr>
      <w:r>
        <w:rPr>
          <w:sz w:val="22"/>
          <w:szCs w:val="22"/>
        </w:rPr>
        <w:t xml:space="preserve">From signed SOW to production cutover in six focused weeks. Weekly check-ins with Eric and Matt, staged demos at Phase 3 and Phase 5, clean handoff with documentation.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80"/>
        <w:gridCol w:w="2520"/>
        <w:gridCol w:w="5880"/>
      </w:tblGrid>
      <w:tr>
        <w:tc>
          <w:tcPr>
            <w:tcW w:type="dxa" w:w="168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PHASE</w:t>
            </w:r>
          </w:p>
        </w:tc>
        <w:tc>
          <w:tcPr>
            <w:tcW w:type="dxa" w:w="252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TIMING</w:t>
            </w:r>
          </w:p>
        </w:tc>
        <w:tc>
          <w:tcPr>
            <w:tcW w:type="dxa" w:w="588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ACTIVITIES</w:t>
            </w:r>
          </w:p>
        </w:tc>
      </w:tr>
      <w:tr>
        <w:tc>
          <w:tcPr>
            <w:tcW w:type="dxa" w:w="16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Phase 1</w:t>
            </w:r>
          </w:p>
        </w:tc>
        <w:tc>
          <w:tcPr>
            <w:tcW w:type="dxa" w:w="25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Week 1</w:t>
            </w:r>
          </w:p>
        </w:tc>
        <w:tc>
          <w:tcPr>
            <w:tcW w:type="dxa" w:w="58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Discovery &amp; Environment Setup: NDA signed, MySQL schema reviewed, Symfony endpoint inventory confirmed, Mailgun access provisioned, Dialpad credentials handed off, sandbox stood up, Excel workbook samples reviewed.</w:t>
            </w:r>
          </w:p>
        </w:tc>
      </w:tr>
      <w:tr>
        <w:tc>
          <w:tcPr>
            <w:tcW w:type="dxa" w:w="16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Phase 2</w:t>
            </w:r>
          </w:p>
        </w:tc>
        <w:tc>
          <w:tcPr>
            <w:tcW w:type="dxa" w:w="25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Weeks 2–3</w:t>
            </w:r>
          </w:p>
        </w:tc>
        <w:tc>
          <w:tcPr>
            <w:tcW w:type="dxa" w:w="58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Pipeline &amp; Reconciliation Layer: Order-creation trigger wired to MySQL via Symfony. Mailgun integration live, reconciling sent vendor emails against expected lists. Type 1 / Type 2 routing operational.</w:t>
            </w:r>
          </w:p>
        </w:tc>
      </w:tr>
      <w:tr>
        <w:tc>
          <w:tcPr>
            <w:tcW w:type="dxa" w:w="16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Phase 3</w:t>
            </w:r>
          </w:p>
        </w:tc>
        <w:tc>
          <w:tcPr>
            <w:tcW w:type="dxa" w:w="25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Week 4</w:t>
            </w:r>
          </w:p>
        </w:tc>
        <w:tc>
          <w:tcPr>
            <w:tcW w:type="dxa" w:w="58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NLP Classifier &amp; MCC Dashboard: Four-scenario classifier trained and live, draft generator producing messages in MARGIN's voice. MCC dashboard built — order board, line-item drill-down, revenue milestone view. Demo for Matt and Eric.</w:t>
            </w:r>
          </w:p>
        </w:tc>
      </w:tr>
      <w:tr>
        <w:tc>
          <w:tcPr>
            <w:tcW w:type="dxa" w:w="16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Phase 4</w:t>
            </w:r>
          </w:p>
        </w:tc>
        <w:tc>
          <w:tcPr>
            <w:tcW w:type="dxa" w:w="25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Week 5</w:t>
            </w:r>
          </w:p>
        </w:tc>
        <w:tc>
          <w:tcPr>
            <w:tcW w:type="dxa" w:w="58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Communication Tab &amp; Dialpad Integration: Communication tab live with pending-draft queue. One-click send via email and Dialpad SMS. Per-client channel preference respected. Audit trail written to MySQL. Cancellation workflow tested.</w:t>
            </w:r>
          </w:p>
        </w:tc>
      </w:tr>
      <w:tr>
        <w:tc>
          <w:tcPr>
            <w:tcW w:type="dxa" w:w="16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Phase 5</w:t>
            </w:r>
          </w:p>
        </w:tc>
        <w:tc>
          <w:tcPr>
            <w:tcW w:type="dxa" w:w="252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Week 6</w:t>
            </w:r>
          </w:p>
        </w:tc>
        <w:tc>
          <w:tcPr>
            <w:tcW w:type="dxa" w:w="588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Hardening, Handoff &amp; Go-Live: Error handling, edge cases, delay-watcher cron validated. Runbook written, team training delivered. Production cutover coordinated with Oleg. Dashboard live alongside Excel.</w:t>
            </w:r>
          </w:p>
        </w:tc>
      </w:tr>
    </w:tbl>
    <w:p>
      <w:pPr>
        <w:pStyle w:val="Heading1"/>
        <w:pBdr>
          <w:bottom w:val="single" w:color="1F4E79" w:sz="8" w:space="6"/>
        </w:pBdr>
        <w:spacing w:after="180" w:before="360"/>
      </w:pPr>
      <w:r>
        <w:rPr>
          <w:b/>
          <w:bCs/>
          <w:color w:val="1F4E79"/>
          <w:sz w:val="32"/>
          <w:szCs w:val="32"/>
        </w:rPr>
        <w:t xml:space="preserve">7. Investment &amp; Payment Schedule</w:t>
      </w:r>
    </w:p>
    <w:p>
      <w:pPr>
        <w:spacing w:after="120"/>
      </w:pPr>
      <w:r>
        <w:rPr>
          <w:b/>
          <w:bCs/>
          <w:sz w:val="22"/>
          <w:szCs w:val="22"/>
        </w:rPr>
        <w:t xml:space="preserve">Total fee: </w:t>
      </w:r>
      <w:r>
        <w:rPr>
          <w:sz w:val="22"/>
          <w:szCs w:val="22"/>
        </w:rPr>
        <w:t xml:space="preserve">Five Thousand US Dollars (</w:t>
      </w:r>
      <w:r>
        <w:rPr>
          <w:b/>
          <w:bCs/>
          <w:sz w:val="22"/>
          <w:szCs w:val="22"/>
        </w:rPr>
        <w:t xml:space="preserve">$5,000 USD</w:t>
      </w:r>
      <w:r>
        <w:rPr>
          <w:sz w:val="22"/>
          <w:szCs w:val="22"/>
        </w:rPr>
        <w:t xml:space="preserve">). Fixed-price engagement. Two milestone payments. Invoices payable net 15 calendar days from issuance via ACH, check, or major credit card.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840"/>
        <w:gridCol w:w="3360"/>
        <w:gridCol w:w="3360"/>
        <w:gridCol w:w="1260"/>
        <w:gridCol w:w="1260"/>
      </w:tblGrid>
      <w:tr>
        <w:tc>
          <w:tcPr>
            <w:tcW w:type="dxa" w:w="84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center"/>
            </w:pPr>
            <w:r>
              <w:rPr>
                <w:b/>
                <w:bCs/>
                <w:color w:val="595959"/>
                <w:sz w:val="21"/>
                <w:szCs w:val="21"/>
              </w:rPr>
              <w:t xml:space="preserve">#</w:t>
            </w:r>
          </w:p>
        </w:tc>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MILESTONE</w:t>
            </w:r>
          </w:p>
        </w:tc>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595959"/>
                <w:sz w:val="21"/>
                <w:szCs w:val="21"/>
              </w:rPr>
              <w:t xml:space="preserve">WHEN</w:t>
            </w:r>
          </w:p>
        </w:tc>
        <w:tc>
          <w:tcPr>
            <w:tcW w:type="dxa" w:w="12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right"/>
            </w:pPr>
            <w:r>
              <w:rPr>
                <w:b/>
                <w:bCs/>
                <w:color w:val="595959"/>
                <w:sz w:val="21"/>
                <w:szCs w:val="21"/>
              </w:rPr>
              <w:t xml:space="preserve">%</w:t>
            </w:r>
          </w:p>
        </w:tc>
        <w:tc>
          <w:tcPr>
            <w:tcW w:type="dxa" w:w="12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right"/>
            </w:pPr>
            <w:r>
              <w:rPr>
                <w:b/>
                <w:bCs/>
                <w:color w:val="595959"/>
                <w:sz w:val="21"/>
                <w:szCs w:val="21"/>
              </w:rPr>
              <w:t xml:space="preserve">AMOUNT</w:t>
            </w:r>
          </w:p>
        </w:tc>
      </w:tr>
      <w:tr>
        <w:tc>
          <w:tcPr>
            <w:tcW w:type="dxa" w:w="84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center"/>
            </w:pPr>
            <w:r>
              <w:rPr>
                <w:b w:val="false"/>
                <w:bCs w:val="false"/>
                <w:sz w:val="21"/>
                <w:szCs w:val="21"/>
              </w:rPr>
              <w:t xml:space="preserve">1</w:t>
            </w:r>
          </w:p>
        </w:tc>
        <w:tc>
          <w:tcPr>
            <w:tcW w:type="dxa" w:w="33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SOW Execution &amp; Kickoff</w:t>
            </w:r>
          </w:p>
        </w:tc>
        <w:tc>
          <w:tcPr>
            <w:tcW w:type="dxa" w:w="33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Upon signature of both Parties</w:t>
            </w:r>
          </w:p>
        </w:tc>
        <w:tc>
          <w:tcPr>
            <w:tcW w:type="dxa" w:w="12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right"/>
            </w:pPr>
            <w:r>
              <w:rPr>
                <w:b/>
                <w:bCs/>
                <w:sz w:val="21"/>
                <w:szCs w:val="21"/>
              </w:rPr>
              <w:t xml:space="preserve">50%</w:t>
            </w:r>
          </w:p>
        </w:tc>
        <w:tc>
          <w:tcPr>
            <w:tcW w:type="dxa" w:w="12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right"/>
            </w:pPr>
            <w:r>
              <w:rPr>
                <w:b/>
                <w:bCs/>
                <w:sz w:val="21"/>
                <w:szCs w:val="21"/>
              </w:rPr>
              <w:t xml:space="preserve">$2,500</w:t>
            </w:r>
          </w:p>
        </w:tc>
      </w:tr>
      <w:tr>
        <w:tc>
          <w:tcPr>
            <w:tcW w:type="dxa" w:w="84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center"/>
            </w:pPr>
            <w:r>
              <w:rPr>
                <w:b w:val="false"/>
                <w:bCs w:val="false"/>
                <w:sz w:val="21"/>
                <w:szCs w:val="21"/>
              </w:rPr>
              <w:t xml:space="preserve">2</w:t>
            </w:r>
          </w:p>
        </w:tc>
        <w:tc>
          <w:tcPr>
            <w:tcW w:type="dxa" w:w="33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bCs/>
                <w:sz w:val="21"/>
                <w:szCs w:val="21"/>
              </w:rPr>
              <w:t xml:space="preserve">Signoff &amp; Go-Live</w:t>
            </w:r>
          </w:p>
        </w:tc>
        <w:tc>
          <w:tcPr>
            <w:tcW w:type="dxa" w:w="33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left"/>
            </w:pPr>
            <w:r>
              <w:rPr>
                <w:b w:val="false"/>
                <w:bCs w:val="false"/>
                <w:sz w:val="21"/>
                <w:szCs w:val="21"/>
              </w:rPr>
              <w:t xml:space="preserve">End of Week 6, upon Client acceptance</w:t>
            </w:r>
          </w:p>
        </w:tc>
        <w:tc>
          <w:tcPr>
            <w:tcW w:type="dxa" w:w="12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right"/>
            </w:pPr>
            <w:r>
              <w:rPr>
                <w:b/>
                <w:bCs/>
                <w:sz w:val="21"/>
                <w:szCs w:val="21"/>
              </w:rPr>
              <w:t xml:space="preserve">50%</w:t>
            </w:r>
          </w:p>
        </w:tc>
        <w:tc>
          <w:tcPr>
            <w:tcW w:type="dxa" w:w="1260"/>
            <w:tcBorders>
              <w:top w:val="single" w:color="D0D7DE" w:sz="1"/>
              <w:left w:val="single" w:color="D0D7DE" w:sz="1"/>
              <w:bottom w:val="single" w:color="D0D7DE" w:sz="1"/>
              <w:right w:val="single" w:color="D0D7DE" w:sz="1"/>
            </w:tcBorders>
            <w:tcMar>
              <w:top w:type="dxa" w:w="100"/>
              <w:left w:type="dxa" w:w="140"/>
              <w:bottom w:type="dxa" w:w="100"/>
              <w:right w:type="dxa" w:w="140"/>
            </w:tcMar>
          </w:tcPr>
          <w:p>
            <w:pPr>
              <w:jc w:val="right"/>
            </w:pPr>
            <w:r>
              <w:rPr>
                <w:b/>
                <w:bCs/>
                <w:sz w:val="21"/>
                <w:szCs w:val="21"/>
              </w:rPr>
              <w:t xml:space="preserve">$2,500</w:t>
            </w:r>
          </w:p>
        </w:tc>
      </w:tr>
      <w:tr>
        <w:tc>
          <w:tcPr>
            <w:tcW w:type="dxa" w:w="84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val="false"/>
                <w:bCs w:val="false"/>
                <w:sz w:val="21"/>
                <w:szCs w:val="21"/>
              </w:rPr>
              <w:t xml:space="preserve"/>
            </w:r>
          </w:p>
        </w:tc>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sz w:val="21"/>
                <w:szCs w:val="21"/>
              </w:rPr>
              <w:t xml:space="preserve">TOTAL</w:t>
            </w:r>
          </w:p>
        </w:tc>
        <w:tc>
          <w:tcPr>
            <w:tcW w:type="dxa" w:w="33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val="false"/>
                <w:bCs w:val="false"/>
                <w:sz w:val="21"/>
                <w:szCs w:val="21"/>
              </w:rPr>
              <w:t xml:space="preserve"/>
            </w:r>
          </w:p>
        </w:tc>
        <w:tc>
          <w:tcPr>
            <w:tcW w:type="dxa" w:w="12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right"/>
            </w:pPr>
            <w:r>
              <w:rPr>
                <w:b/>
                <w:bCs/>
                <w:color w:val="1F4E79"/>
                <w:sz w:val="21"/>
                <w:szCs w:val="21"/>
              </w:rPr>
              <w:t xml:space="preserve">100%</w:t>
            </w:r>
          </w:p>
        </w:tc>
        <w:tc>
          <w:tcPr>
            <w:tcW w:type="dxa" w:w="126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right"/>
            </w:pPr>
            <w:r>
              <w:rPr>
                <w:b/>
                <w:bCs/>
                <w:color w:val="1F4E79"/>
                <w:sz w:val="21"/>
                <w:szCs w:val="21"/>
              </w:rPr>
              <w:t xml:space="preserve">$5,000</w:t>
            </w:r>
          </w:p>
        </w:tc>
      </w:tr>
    </w:tbl>
    <w:p>
      <w:pPr>
        <w:spacing w:after="120"/>
      </w:pPr>
      <w:r>
        <w:t xml:space="preserve"/>
      </w:r>
    </w:p>
    <w:p>
      <w:pPr>
        <w:spacing w:after="120"/>
      </w:pPr>
      <w:r>
        <w:rPr>
          <w:i/>
          <w:iCs/>
          <w:color w:val="595959"/>
          <w:sz w:val="22"/>
          <w:szCs w:val="22"/>
        </w:rPr>
        <w:t xml:space="preserve">Pricing is exclusive of any applicable sales, use, or other transactional taxes, which shall be the responsibility of Client. Work begins within three (3) business days of receipt of the Milestone 1 deposit.</w:t>
      </w:r>
    </w:p>
    <w:p>
      <w:pPr>
        <w:pStyle w:val="Heading1"/>
        <w:pBdr>
          <w:bottom w:val="single" w:color="1F4E79" w:sz="8" w:space="6"/>
        </w:pBdr>
        <w:spacing w:after="180" w:before="360"/>
      </w:pPr>
      <w:r>
        <w:rPr>
          <w:b/>
          <w:bCs/>
          <w:color w:val="1F4E79"/>
          <w:sz w:val="32"/>
          <w:szCs w:val="32"/>
        </w:rPr>
        <w:t xml:space="preserve">8. Standard SOW Terms</w:t>
      </w:r>
    </w:p>
    <w:p>
      <w:pPr>
        <w:spacing w:after="120"/>
      </w:pPr>
      <w:r>
        <w:rPr>
          <w:sz w:val="22"/>
          <w:szCs w:val="22"/>
        </w:rPr>
        <w:t xml:space="preserve">This SOW is standalone: the terms below constitute the governing agreement between Divigner Group LLC and MARGIN.</w:t>
      </w:r>
    </w:p>
    <w:p>
      <w:pPr>
        <w:spacing w:after="60" w:before="180"/>
      </w:pPr>
      <w:r>
        <w:rPr>
          <w:b/>
          <w:bCs/>
          <w:color w:val="0F1A2E"/>
          <w:sz w:val="22"/>
          <w:szCs w:val="22"/>
        </w:rPr>
        <w:t xml:space="preserve">8.1 Services &amp; Deliverables</w:t>
      </w:r>
    </w:p>
    <w:p>
      <w:pPr>
        <w:spacing w:after="120"/>
      </w:pPr>
      <w:r>
        <w:rPr>
          <w:sz w:val="22"/>
          <w:szCs w:val="22"/>
        </w:rPr>
        <w:t xml:space="preserve">Divigner agrees to design, develop, and deliver the Margin Command Center (MCC) as described in Sections 3–6 of this Statement of Work. Deliverables are limited to those specifically enumerated in Section 4. Any work requested by Client that falls outside the enumerated scope will be quoted and agreed in writing via the Change Order Procedure (Section 8.8) before being performed. Verbal scope changes are not binding.</w:t>
      </w:r>
    </w:p>
    <w:p>
      <w:pPr>
        <w:spacing w:after="60" w:before="180"/>
      </w:pPr>
      <w:r>
        <w:rPr>
          <w:b/>
          <w:bCs/>
          <w:color w:val="0F1A2E"/>
          <w:sz w:val="22"/>
          <w:szCs w:val="22"/>
        </w:rPr>
        <w:t xml:space="preserve">8.2 Payment Terms</w:t>
      </w:r>
    </w:p>
    <w:p>
      <w:pPr>
        <w:spacing w:after="120"/>
      </w:pPr>
      <w:r>
        <w:rPr>
          <w:sz w:val="22"/>
          <w:szCs w:val="22"/>
        </w:rPr>
        <w:t xml:space="preserve">The total fee for this engagement is Five Thousand US Dollars ($5,000 USD), payable per the Payment Schedule in Section 7. Invoices are payable via ACH, check, or major credit card, net fifteen (15) calendar days from issuance. Invoices not paid within fifteen (15) days are considered past due and may incur a late fee of 1.5% per month or the maximum permitted by applicable law, whichever is lower. Divigner reserves the right to pause work on any past-due account. Pricing is exclusive of any applicable sales, use, or other transactional taxes, which shall be the responsibility of Client.</w:t>
      </w:r>
    </w:p>
    <w:p>
      <w:pPr>
        <w:spacing w:after="60" w:before="180"/>
      </w:pPr>
      <w:r>
        <w:rPr>
          <w:b/>
          <w:bCs/>
          <w:color w:val="0F1A2E"/>
          <w:sz w:val="22"/>
          <w:szCs w:val="22"/>
        </w:rPr>
        <w:t xml:space="preserve">8.3 Intellectual Property &amp; License</w:t>
      </w:r>
    </w:p>
    <w:p>
      <w:pPr>
        <w:spacing w:after="120"/>
      </w:pPr>
      <w:r>
        <w:rPr>
          <w:sz w:val="22"/>
          <w:szCs w:val="22"/>
        </w:rPr>
        <w:t xml:space="preserve">Upon receipt of final payment, all custom source code, scripts, configurations, and deliverables created for Client under this SOW transfer to Client and become Client's sole property. Divigner retains ownership of any pre-existing tools, frameworks, libraries, or internal methodologies used in delivery. Client receives a perpetual, royalty-free, non-exclusive license to use such pre-existing materials solely as embedded within the delivered system. Open-source components are governed by their respective licenses.</w:t>
      </w:r>
    </w:p>
    <w:p>
      <w:pPr>
        <w:spacing w:after="60" w:before="180"/>
      </w:pPr>
      <w:r>
        <w:rPr>
          <w:b/>
          <w:bCs/>
          <w:color w:val="0F1A2E"/>
          <w:sz w:val="22"/>
          <w:szCs w:val="22"/>
        </w:rPr>
        <w:t xml:space="preserve">8.4 Confidentiality</w:t>
      </w:r>
    </w:p>
    <w:p>
      <w:pPr>
        <w:spacing w:after="120"/>
      </w:pPr>
      <w:r>
        <w:rPr>
          <w:sz w:val="22"/>
          <w:szCs w:val="22"/>
        </w:rPr>
        <w:t xml:space="preserve">Both Parties agree to treat as confidential any non-public information disclosed during the course of this engagement, including but not limited to business data, customer records, vendor relationships, source code, system credentials, and pricing. This confidentiality obligation survives termination of this SOW for a period of three (3) years. A separately executed Non-Disclosure Agreement, if any, takes precedence over this section to the extent of any conflict.</w:t>
      </w:r>
    </w:p>
    <w:p>
      <w:pPr>
        <w:spacing w:after="60" w:before="180"/>
      </w:pPr>
      <w:r>
        <w:rPr>
          <w:b/>
          <w:bCs/>
          <w:color w:val="0F1A2E"/>
          <w:sz w:val="22"/>
          <w:szCs w:val="22"/>
        </w:rPr>
        <w:t xml:space="preserve">8.5 Warranties &amp; Bug Coverage</w:t>
      </w:r>
    </w:p>
    <w:p>
      <w:pPr>
        <w:spacing w:after="120"/>
      </w:pPr>
      <w:r>
        <w:rPr>
          <w:sz w:val="22"/>
          <w:szCs w:val="22"/>
        </w:rPr>
        <w:t xml:space="preserve">Divigner warrants that the delivered work will materially conform to the specifications set out in this SOW for a period of thirty (30) days following production go-live (the “Warranty Period”). During the Warranty Period, Divigner will, at no additional cost, correct any defect arising solely from Divigner's work that prevents the delivered system from materially performing as specified. The warranty does not cover changes requested by Client after delivery, infrastructure or third-party service outages, or issues arising from Client or third-party modifications to the delivered code during the Warranty Period.</w:t>
      </w:r>
    </w:p>
    <w:p>
      <w:pPr>
        <w:spacing w:after="60" w:before="180"/>
      </w:pPr>
      <w:r>
        <w:rPr>
          <w:b/>
          <w:bCs/>
          <w:color w:val="0F1A2E"/>
          <w:sz w:val="22"/>
          <w:szCs w:val="22"/>
        </w:rPr>
        <w:t xml:space="preserve">8.6 Limitation of Liability</w:t>
      </w:r>
    </w:p>
    <w:p>
      <w:pPr>
        <w:spacing w:after="120"/>
      </w:pPr>
      <w:r>
        <w:rPr>
          <w:sz w:val="22"/>
          <w:szCs w:val="22"/>
        </w:rPr>
        <w:t xml:space="preserve">To the maximum extent permitted by law, neither Party shall be liable to the other for any indirect, incidental, special, consequential, or punitive damages, including but not limited to loss of profits, data, business, or goodwill, even if advised of the possibility of such damages. Divigner's total aggregate liability under this SOW, regardless of the legal theory, shall not exceed the total fees actually paid by Client to Divigner under this SOW.</w:t>
      </w:r>
    </w:p>
    <w:p>
      <w:pPr>
        <w:spacing w:after="60" w:before="180"/>
      </w:pPr>
      <w:r>
        <w:rPr>
          <w:b/>
          <w:bCs/>
          <w:color w:val="0F1A2E"/>
          <w:sz w:val="22"/>
          <w:szCs w:val="22"/>
        </w:rPr>
        <w:t xml:space="preserve">8.7 Client Responsibilities &amp; Acceptance</w:t>
      </w:r>
    </w:p>
    <w:p>
      <w:pPr>
        <w:spacing w:after="120"/>
      </w:pPr>
      <w:r>
        <w:rPr>
          <w:sz w:val="22"/>
          <w:szCs w:val="22"/>
        </w:rPr>
        <w:t xml:space="preserve">Client agrees to provide all items listed in Section 5 (Client Provides) in a timely manner, and to assign a primary Point of Contact (POC) authorized to make day-to-day project decisions, organize Client resources, and approve milestone deliverables. The acceptance period shall be five (5) business days for interim milestones and ten (10) business days for the final go-live milestone. On or before the close of each window, Client shall either (a) provide written conditional acceptance, or (b) identify in writing any failure of the deliverable to comply with the SOW, listing all such errors with reasonable detail. Failure to respond within the window constitutes acceptance. Divigner is not responsible for delays caused by Client's failure to provide required access, materials, decisions, or feedback within the stated timeframes.</w:t>
      </w:r>
    </w:p>
    <w:p>
      <w:pPr>
        <w:spacing w:after="60" w:before="180"/>
      </w:pPr>
      <w:r>
        <w:rPr>
          <w:b/>
          <w:bCs/>
          <w:color w:val="0F1A2E"/>
          <w:sz w:val="22"/>
          <w:szCs w:val="22"/>
        </w:rPr>
        <w:t xml:space="preserve">8.8 Change Order Procedure</w:t>
      </w:r>
    </w:p>
    <w:p>
      <w:pPr>
        <w:spacing w:after="120"/>
      </w:pPr>
      <w:r>
        <w:rPr>
          <w:sz w:val="22"/>
          <w:szCs w:val="22"/>
        </w:rPr>
        <w:t xml:space="preserve">In the event the Parties determine that the scope, timeline, or fee of this SOW requires modification, they will utilize the following Change Order Procedure: the Party identifying the need for a change shall submit a written Change Order describing the proposed change, the rationale, and any anticipated impact to scope, schedule, or cost. At no charge to Client, Divigner shall prepare an impact analysis. The Parties shall mutually agree on the Change Order before any out-of-scope work begins. A written Change Order, signed (including via electronic signature or email confirmation by an authorized representative) by both Parties, becomes an amendment to this SOW upon execution. Until a Change Order is agreed in writing, both Parties shall continue to act in accordance with the most recently agreed version of the SOW. No fees outside the scope of this SOW will be incurred without an executed Change Order.</w:t>
      </w:r>
    </w:p>
    <w:p>
      <w:pPr>
        <w:spacing w:after="60" w:before="180"/>
      </w:pPr>
      <w:r>
        <w:rPr>
          <w:b/>
          <w:bCs/>
          <w:color w:val="0F1A2E"/>
          <w:sz w:val="22"/>
          <w:szCs w:val="22"/>
        </w:rPr>
        <w:t xml:space="preserve">8.9 Termination</w:t>
      </w:r>
    </w:p>
    <w:p>
      <w:pPr>
        <w:spacing w:after="120"/>
      </w:pPr>
      <w:r>
        <w:rPr>
          <w:sz w:val="22"/>
          <w:szCs w:val="22"/>
        </w:rPr>
        <w:t xml:space="preserve">Either Party may terminate this SOW for convenience upon thirty (30) days' written notice. Either Party may terminate immediately for material breach if the breaching Party fails to cure within seven (7) days of written notice of the breach. Upon termination, Client shall pay Divigner for all work performed and accepted through the termination date on a pro-rata basis against milestones. Divigner shall deliver all completed and in-progress work product to Client upon payment of amounts then due.</w:t>
      </w:r>
    </w:p>
    <w:p>
      <w:pPr>
        <w:spacing w:after="60" w:before="180"/>
      </w:pPr>
      <w:r>
        <w:rPr>
          <w:b/>
          <w:bCs/>
          <w:color w:val="0F1A2E"/>
          <w:sz w:val="22"/>
          <w:szCs w:val="22"/>
        </w:rPr>
        <w:t xml:space="preserve">8.10 Independent Contractor</w:t>
      </w:r>
    </w:p>
    <w:p>
      <w:pPr>
        <w:spacing w:after="120"/>
      </w:pPr>
      <w:r>
        <w:rPr>
          <w:sz w:val="22"/>
          <w:szCs w:val="22"/>
        </w:rPr>
        <w:t xml:space="preserve">Divigner is an independent contractor. Nothing in this SOW creates an employment, partnership, joint venture, or agency relationship between the Parties. Each Party is responsible for its own taxes, benefits, and statutory obligations. Divigner has sole discretion over the means and methods used to perform the services, subject to the deliverables and timeline set forth in this SOW.</w:t>
      </w:r>
    </w:p>
    <w:p>
      <w:pPr>
        <w:spacing w:after="60" w:before="180"/>
      </w:pPr>
      <w:r>
        <w:rPr>
          <w:b/>
          <w:bCs/>
          <w:color w:val="0F1A2E"/>
          <w:sz w:val="22"/>
          <w:szCs w:val="22"/>
        </w:rPr>
        <w:t xml:space="preserve">8.11 Force Majeure</w:t>
      </w:r>
    </w:p>
    <w:p>
      <w:pPr>
        <w:spacing w:after="120"/>
      </w:pPr>
      <w:r>
        <w:rPr>
          <w:sz w:val="22"/>
          <w:szCs w:val="22"/>
        </w:rPr>
        <w:t xml:space="preserve">Neither Party shall be liable for delay or failure in performance caused by events beyond reasonable control, including but not limited to natural disasters, government action, war, terrorism, pandemic, labor disputes, internet or utility outages, or third-party service failures. The affected Party shall promptly notify the other and use commercially reasonable efforts to resume performance as soon as possible.</w:t>
      </w:r>
    </w:p>
    <w:p>
      <w:pPr>
        <w:spacing w:after="60" w:before="180"/>
      </w:pPr>
      <w:r>
        <w:rPr>
          <w:b/>
          <w:bCs/>
          <w:color w:val="0F1A2E"/>
          <w:sz w:val="22"/>
          <w:szCs w:val="22"/>
        </w:rPr>
        <w:t xml:space="preserve">8.12 Governing Law &amp; Dispute Resolution</w:t>
      </w:r>
    </w:p>
    <w:p>
      <w:pPr>
        <w:spacing w:after="120"/>
      </w:pPr>
      <w:r>
        <w:rPr>
          <w:sz w:val="22"/>
          <w:szCs w:val="22"/>
        </w:rPr>
        <w:t xml:space="preserve">This SOW is governed by and construed in accordance with the laws of the State of New Jersey, without regard to its conflict-of-law principles. The Parties agree to attempt in good faith to resolve any dispute through direct negotiation. If unresolved within thirty (30) days, the Parties shall submit the dispute to binding arbitration in Essex County, New Jersey, under the rules of the American Arbitration Association. The prevailing Party shall be entitled to recover reasonable attorneys' fees and costs.</w:t>
      </w:r>
    </w:p>
    <w:p>
      <w:pPr>
        <w:spacing w:after="60" w:before="180"/>
      </w:pPr>
      <w:r>
        <w:rPr>
          <w:b/>
          <w:bCs/>
          <w:color w:val="0F1A2E"/>
          <w:sz w:val="22"/>
          <w:szCs w:val="22"/>
        </w:rPr>
        <w:t xml:space="preserve">8.13 Entire Agreement</w:t>
      </w:r>
    </w:p>
    <w:p>
      <w:pPr>
        <w:spacing w:after="120"/>
      </w:pPr>
      <w:r>
        <w:rPr>
          <w:sz w:val="22"/>
          <w:szCs w:val="22"/>
        </w:rPr>
        <w:t xml:space="preserve">This SOW, together with any executed Non-Disclosure Agreement between the Parties and any signed Change Orders, constitutes the entire agreement between the Parties with respect to the subject matter hereof and supersedes all prior or contemporaneous communications, proposals, and agreements, whether oral or written. No amendment is binding unless in writing and signed by both Parties. If any provision is held unenforceable, the remaining provisions shall remain in full force and effect.</w:t>
      </w:r>
    </w:p>
    <w:p>
      <w:pPr>
        <w:pageBreakBefore/>
      </w:pPr>
      <w:r>
        <w:t xml:space="preserve"/>
      </w:r>
    </w:p>
    <w:p>
      <w:pPr>
        <w:pStyle w:val="Heading1"/>
        <w:pBdr>
          <w:bottom w:val="single" w:color="1F4E79" w:sz="8" w:space="6"/>
        </w:pBdr>
        <w:spacing w:after="180" w:before="360"/>
      </w:pPr>
      <w:r>
        <w:rPr>
          <w:b/>
          <w:bCs/>
          <w:color w:val="1F4E79"/>
          <w:sz w:val="32"/>
          <w:szCs w:val="32"/>
        </w:rPr>
        <w:t xml:space="preserve">9. Authorization to Proceed</w:t>
      </w:r>
    </w:p>
    <w:p>
      <w:pPr>
        <w:spacing w:after="120"/>
      </w:pPr>
      <w:r>
        <w:rPr>
          <w:b/>
          <w:bCs/>
          <w:sz w:val="22"/>
          <w:szCs w:val="22"/>
        </w:rPr>
        <w:t xml:space="preserve">IN WITNESS WHEREOF, </w:t>
      </w:r>
      <w:r>
        <w:rPr>
          <w:sz w:val="22"/>
          <w:szCs w:val="22"/>
        </w:rPr>
        <w:t xml:space="preserve">the undersigned Parties have agreed to the terms of this Statement of Work as of the Effective Date set forth above. By signing, MARGIN authorizes Divigner Group LLC to proceed with the scope of work described herein, and agrees to the payment schedule and Terms &amp; Conditions stated.</w:t>
      </w:r>
    </w:p>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1F4E79"/>
                <w:sz w:val="20"/>
                <w:szCs w:val="20"/>
              </w:rPr>
              <w:t xml:space="preserve">FOR MARGIN (CLIENT)
</w:t>
            </w:r>
          </w:p>
        </w:tc>
        <w:tc>
          <w:tcPr>
            <w:tcW w:type="dxa" w:w="5040"/>
            <w:tcBorders>
              <w:top w:val="single" w:color="D0D7DE" w:sz="1"/>
              <w:left w:val="single" w:color="D0D7DE" w:sz="1"/>
              <w:bottom w:val="single" w:color="D0D7DE" w:sz="1"/>
              <w:right w:val="single" w:color="D0D7DE" w:sz="1"/>
            </w:tcBorders>
            <w:shd w:fill="F2F6FA" w:val="clear"/>
            <w:tcMar>
              <w:top w:type="dxa" w:w="100"/>
              <w:left w:type="dxa" w:w="140"/>
              <w:bottom w:type="dxa" w:w="100"/>
              <w:right w:type="dxa" w:w="140"/>
            </w:tcMar>
          </w:tcPr>
          <w:p>
            <w:pPr>
              <w:jc w:val="left"/>
            </w:pPr>
            <w:r>
              <w:rPr>
                <w:b/>
                <w:bCs/>
                <w:color w:val="1F4E79"/>
                <w:sz w:val="20"/>
                <w:szCs w:val="20"/>
              </w:rPr>
              <w:t xml:space="preserve">FOR DIVIGNER GROUP LLC
</w:t>
            </w:r>
          </w:p>
        </w:tc>
      </w:tr>
      <w:tr>
        <w:tc>
          <w:tcPr>
            <w:tcW w:type="dxa" w:w="5040"/>
            <w:tcBorders>
              <w:top w:val="single" w:color="D0D7DE" w:sz="1"/>
              <w:left w:val="single" w:color="D0D7DE" w:sz="1"/>
              <w:bottom w:val="single" w:color="D0D7DE" w:sz="1"/>
              <w:right w:val="single" w:color="D0D7DE" w:sz="1"/>
            </w:tcBorders>
            <w:tcMar>
              <w:top w:type="dxa" w:w="200"/>
              <w:left w:type="dxa" w:w="140"/>
              <w:bottom w:type="dxa" w:w="200"/>
              <w:right w:type="dxa" w:w="140"/>
            </w:tcMar>
          </w:tcPr>
          <w:p>
            <w:pPr>
              <w:spacing w:after="480"/>
            </w:pPr>
            <w:r>
              <w:rPr>
                <w:sz w:val="22"/>
                <w:szCs w:val="22"/>
              </w:rPr>
              <w:t xml:space="preserve"> </w:t>
            </w:r>
          </w:p>
          <w:p>
            <w:pPr>
              <w:spacing w:after="40"/>
            </w:pPr>
            <w:r>
              <w:rPr>
                <w:sz w:val="22"/>
                <w:szCs w:val="22"/>
              </w:rPr>
              <w:t xml:space="preserve">_______________________________</w:t>
            </w:r>
          </w:p>
          <w:p>
            <w:pPr>
              <w:spacing w:after="240"/>
            </w:pPr>
            <w:r>
              <w:rPr>
                <w:color w:val="595959"/>
                <w:sz w:val="18"/>
                <w:szCs w:val="18"/>
              </w:rPr>
              <w:t xml:space="preserve">Signature</w:t>
            </w:r>
          </w:p>
          <w:p>
            <w:pPr>
              <w:spacing w:after="40"/>
            </w:pPr>
            <w:r>
              <w:rPr>
                <w:sz w:val="22"/>
                <w:szCs w:val="22"/>
              </w:rPr>
              <w:t xml:space="preserve">_______________________________</w:t>
            </w:r>
          </w:p>
          <w:p>
            <w:pPr>
              <w:spacing w:after="240"/>
            </w:pPr>
            <w:r>
              <w:rPr>
                <w:color w:val="595959"/>
                <w:sz w:val="18"/>
                <w:szCs w:val="18"/>
              </w:rPr>
              <w:t xml:space="preserve">Printed Name</w:t>
            </w:r>
          </w:p>
          <w:p>
            <w:pPr>
              <w:spacing w:after="40"/>
            </w:pPr>
            <w:r>
              <w:rPr>
                <w:sz w:val="22"/>
                <w:szCs w:val="22"/>
              </w:rPr>
              <w:t xml:space="preserve">_______________________________</w:t>
            </w:r>
          </w:p>
          <w:p>
            <w:pPr>
              <w:spacing w:after="240"/>
            </w:pPr>
            <w:r>
              <w:rPr>
                <w:color w:val="595959"/>
                <w:sz w:val="18"/>
                <w:szCs w:val="18"/>
              </w:rPr>
              <w:t xml:space="preserve">Title</w:t>
            </w:r>
          </w:p>
          <w:p>
            <w:pPr>
              <w:spacing w:after="40"/>
            </w:pPr>
            <w:r>
              <w:rPr>
                <w:sz w:val="22"/>
                <w:szCs w:val="22"/>
              </w:rPr>
              <w:t xml:space="preserve">_______________________________</w:t>
            </w:r>
          </w:p>
          <w:p>
            <w:pPr>
              <w:spacing w:after="80"/>
            </w:pPr>
            <w:r>
              <w:rPr>
                <w:color w:val="595959"/>
                <w:sz w:val="18"/>
                <w:szCs w:val="18"/>
              </w:rPr>
              <w:t xml:space="preserve">Date</w:t>
            </w:r>
          </w:p>
        </w:tc>
        <w:tc>
          <w:tcPr>
            <w:tcW w:type="dxa" w:w="5040"/>
            <w:tcBorders>
              <w:top w:val="single" w:color="D0D7DE" w:sz="1"/>
              <w:left w:val="single" w:color="D0D7DE" w:sz="1"/>
              <w:bottom w:val="single" w:color="D0D7DE" w:sz="1"/>
              <w:right w:val="single" w:color="D0D7DE" w:sz="1"/>
            </w:tcBorders>
            <w:tcMar>
              <w:top w:type="dxa" w:w="200"/>
              <w:left w:type="dxa" w:w="140"/>
              <w:bottom w:type="dxa" w:w="200"/>
              <w:right w:type="dxa" w:w="140"/>
            </w:tcMar>
          </w:tcPr>
          <w:p>
            <w:pPr>
              <w:spacing w:after="480"/>
            </w:pPr>
            <w:r>
              <w:rPr>
                <w:sz w:val="22"/>
                <w:szCs w:val="22"/>
              </w:rPr>
              <w:t xml:space="preserve"> </w:t>
            </w:r>
          </w:p>
          <w:p>
            <w:pPr>
              <w:spacing w:after="40"/>
            </w:pPr>
            <w:r>
              <w:rPr>
                <w:sz w:val="22"/>
                <w:szCs w:val="22"/>
              </w:rPr>
              <w:t xml:space="preserve">_______________________________</w:t>
            </w:r>
          </w:p>
          <w:p>
            <w:pPr>
              <w:spacing w:after="240"/>
            </w:pPr>
            <w:r>
              <w:rPr>
                <w:color w:val="595959"/>
                <w:sz w:val="18"/>
                <w:szCs w:val="18"/>
              </w:rPr>
              <w:t xml:space="preserve">Signature</w:t>
            </w:r>
          </w:p>
          <w:p>
            <w:pPr>
              <w:spacing w:after="40"/>
            </w:pPr>
            <w:r>
              <w:rPr>
                <w:b/>
                <w:bCs/>
                <w:sz w:val="22"/>
                <w:szCs w:val="22"/>
              </w:rPr>
              <w:t xml:space="preserve">Jae McKinney</w:t>
            </w:r>
          </w:p>
          <w:p>
            <w:pPr>
              <w:spacing w:after="240"/>
            </w:pPr>
            <w:r>
              <w:rPr>
                <w:color w:val="595959"/>
                <w:sz w:val="18"/>
                <w:szCs w:val="18"/>
              </w:rPr>
              <w:t xml:space="preserve">Printed Name</w:t>
            </w:r>
          </w:p>
          <w:p>
            <w:pPr>
              <w:spacing w:after="40"/>
            </w:pPr>
            <w:r>
              <w:rPr>
                <w:b/>
                <w:bCs/>
                <w:sz w:val="22"/>
                <w:szCs w:val="22"/>
              </w:rPr>
              <w:t xml:space="preserve">Managing Director</w:t>
            </w:r>
          </w:p>
          <w:p>
            <w:pPr>
              <w:spacing w:after="240"/>
            </w:pPr>
            <w:r>
              <w:rPr>
                <w:color w:val="595959"/>
                <w:sz w:val="18"/>
                <w:szCs w:val="18"/>
              </w:rPr>
              <w:t xml:space="preserve">Title</w:t>
            </w:r>
          </w:p>
          <w:p>
            <w:pPr>
              <w:spacing w:after="40"/>
            </w:pPr>
            <w:r>
              <w:rPr>
                <w:sz w:val="22"/>
                <w:szCs w:val="22"/>
              </w:rPr>
              <w:t xml:space="preserve">_______________________________</w:t>
            </w:r>
          </w:p>
          <w:p>
            <w:pPr>
              <w:spacing w:after="80"/>
            </w:pPr>
            <w:r>
              <w:rPr>
                <w:color w:val="595959"/>
                <w:sz w:val="18"/>
                <w:szCs w:val="18"/>
              </w:rPr>
              <w:t xml:space="preserve">Date</w:t>
            </w:r>
          </w:p>
        </w:tc>
      </w:tr>
    </w:tbl>
    <w:p>
      <w:pPr>
        <w:spacing w:after="120"/>
      </w:pPr>
      <w:r>
        <w:t xml:space="preserve"/>
      </w:r>
    </w:p>
    <w:p>
      <w:pPr>
        <w:spacing w:after="120"/>
      </w:pPr>
      <w:r>
        <w:rPr>
          <w:i/>
          <w:iCs/>
          <w:color w:val="595959"/>
          <w:sz w:val="22"/>
          <w:szCs w:val="22"/>
        </w:rPr>
        <w:t xml:space="preserve">Once both Parties have signed, return the executed copy via email to </w:t>
      </w:r>
      <w:r>
        <w:rPr>
          <w:b/>
          <w:bCs/>
          <w:i/>
          <w:iCs/>
          <w:color w:val="1F4E79"/>
          <w:sz w:val="22"/>
          <w:szCs w:val="22"/>
        </w:rPr>
        <w:t xml:space="preserve">jae@divignergroup.com</w:t>
      </w:r>
      <w:r>
        <w:rPr>
          <w:i/>
          <w:iCs/>
          <w:color w:val="595959"/>
          <w:sz w:val="22"/>
          <w:szCs w:val="22"/>
        </w:rPr>
        <w:t xml:space="preserve">. Divigner will issue the Milestone 1 invoice ($2,500) upon receipt of the executed SOW. Work begins within three (3) business days of deposit receipt.</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7DE" w:sz="4" w:space="4"/>
      </w:pBdr>
      <w:tabs>
        <w:tab w:val="right" w:pos="9026"/>
      </w:tabs>
    </w:pPr>
    <w:r>
      <w:rPr>
        <w:color w:val="595959"/>
        <w:sz w:val="16"/>
        <w:szCs w:val="16"/>
      </w:rPr>
      <w:t xml:space="preserve">SOW-2026-MCC-001 — Confidential</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of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9" w:sz="4" w:space="4"/>
      </w:pBdr>
      <w:tabs>
        <w:tab w:val="right" w:pos="9026"/>
      </w:tabs>
    </w:pPr>
    <w:r>
      <w:rPr>
        <w:b/>
        <w:bCs/>
        <w:color w:val="1F4E79"/>
        <w:sz w:val="18"/>
        <w:szCs w:val="18"/>
      </w:rPr>
      <w:t xml:space="preserve">STATEMENT OF WORK</w:t>
    </w:r>
    <w:r>
      <w:rPr>
        <w:color w:val="595959"/>
        <w:sz w:val="18"/>
        <w:szCs w:val="18"/>
      </w:rPr>
      <w:t xml:space="preserve">	Divigner Group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4E79"/>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0F1A2E"/>
      <w:sz w:val="26"/>
      <w:szCs w:val="26"/>
    </w:rPr>
  </w:style>
  <w:style w:type="paragraph" w:styleId="Heading3">
    <w:name w:val="Heading 3"/>
    <w:basedOn w:val="Normal"/>
    <w:next w:val="Normal"/>
    <w:qFormat/>
    <w:pPr>
      <w:spacing w:after="80" w:before="200"/>
      <w:outlineLvl w:val="2"/>
    </w:pPr>
    <w:rPr>
      <w:rFonts w:ascii="Calibri" w:cs="Calibri" w:eastAsia="Calibri" w:hAnsi="Calibri"/>
      <w:b/>
      <w:bCs/>
      <w:color w:val="0F766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 MARGIN — Margin Command Center</dc:title>
  <dc:subject>SOW-2026-MCC-001</dc:subject>
  <dc:creator>Divigner Group LLC</dc:creator>
  <cp:lastModifiedBy>Un-named</cp:lastModifiedBy>
  <cp:revision>1</cp:revision>
  <dcterms:created xsi:type="dcterms:W3CDTF">2026-05-23T11:25:21.763Z</dcterms:created>
  <dcterms:modified xsi:type="dcterms:W3CDTF">2026-05-23T11:25:21.764Z</dcterms:modified>
</cp:coreProperties>
</file>

<file path=docProps/custom.xml><?xml version="1.0" encoding="utf-8"?>
<Properties xmlns="http://schemas.openxmlformats.org/officeDocument/2006/custom-properties" xmlns:vt="http://schemas.openxmlformats.org/officeDocument/2006/docPropsVTypes"/>
</file>